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Plan et tableau de veille professionnelle</w:t>
      </w:r>
    </w:p>
    <w:p>
      <w:pPr>
        <w:jc w:val="center"/>
      </w:pPr>
      <w:r>
        <w:rPr>
          <w:b/>
        </w:rPr>
        <w:t>AT4 — Inscrire sa pratique professionnelle dans une démarche de qualité et de responsabilité sociale des entreprises</w:t>
      </w:r>
    </w:p>
    <w:p>
      <w:r>
        <w:t>REAC FPA v07 — CP12, pages 41-42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Plan et tableau de veille professionnelle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Plan de veille</w:t>
      </w:r>
    </w:p>
    <w:p>
      <w:r>
        <w:rPr>
          <w:i/>
        </w:rPr>
        <w:t>Définissez le périmètre et les modalités.</w:t>
      </w:r>
    </w:p>
    <w:p>
      <w:r>
        <w:rPr>
          <w:b/>
        </w:rPr>
        <w:t xml:space="preserve">Objectifs de la veille : </w:t>
      </w:r>
      <w:r>
        <w:t>À compléter</w:t>
      </w:r>
    </w:p>
    <w:p>
      <w:r>
        <w:rPr>
          <w:b/>
        </w:rPr>
        <w:t xml:space="preserve">Axes : spécialité, pédagogie, règlementation, technologie, concurrence : </w:t>
      </w:r>
      <w:r>
        <w:t>À compléter</w:t>
      </w:r>
    </w:p>
    <w:p>
      <w:r>
        <w:rPr>
          <w:b/>
        </w:rPr>
        <w:t xml:space="preserve">Fréquence de consultation : </w:t>
      </w:r>
      <w:r>
        <w:t>À compléter</w:t>
      </w:r>
    </w:p>
    <w:p>
      <w:r>
        <w:rPr>
          <w:b/>
        </w:rPr>
        <w:t xml:space="preserve">Outils de collecte et d'organisation : </w:t>
      </w:r>
      <w:r>
        <w:t>À compléter</w:t>
      </w:r>
    </w:p>
    <w:p>
      <w:r>
        <w:rPr>
          <w:b/>
        </w:rPr>
        <w:t xml:space="preserve">Modalités de partage et de conservation des preuves : </w:t>
      </w:r>
      <w:r>
        <w:t>À compléter</w:t>
      </w:r>
    </w:p>
    <w:p>
      <w:pPr>
        <w:pStyle w:val="Heading1"/>
      </w:pPr>
      <w:r>
        <w:t>Collecte</w:t>
      </w:r>
    </w:p>
    <w:p>
      <w:r>
        <w:rPr>
          <w:i/>
        </w:rPr>
        <w:t>Consignez les informations utiles et leur exploitation.</w:t>
      </w:r>
    </w:p>
    <w:p>
      <w:pPr>
        <w:pStyle w:val="Heading2"/>
      </w:pPr>
      <w:r>
        <w:t>Informations de veille</w:t>
      </w:r>
    </w:p>
    <w:p>
      <w:r>
        <w:t>Aucune donnée renseignée.</w:t>
      </w:r>
    </w:p>
    <w:p>
      <w:pPr>
        <w:pStyle w:val="Heading1"/>
      </w:pPr>
      <w:r>
        <w:t>Réseau et territoire</w:t>
      </w:r>
    </w:p>
    <w:p>
      <w:r>
        <w:rPr>
          <w:i/>
        </w:rPr>
        <w:t>Maintenez un répertoire opérationnel.</w:t>
      </w:r>
    </w:p>
    <w:p>
      <w:pPr>
        <w:pStyle w:val="Heading2"/>
      </w:pPr>
      <w:r>
        <w:t>Acteurs mobilisables</w:t>
      </w:r>
    </w:p>
    <w:p>
      <w:r>
        <w:t>Aucune donnée renseignée.</w:t>
      </w:r>
    </w:p>
    <w:p>
      <w:pPr>
        <w:pStyle w:val="Heading1"/>
      </w:pPr>
      <w:r>
        <w:t>Repères REAC</w:t>
      </w:r>
    </w:p>
    <w:p>
      <w:r>
        <w:t>Formaliser les axes, sources, informations, analyse, diffusion et preuves d'une veille pédagogique, règlementaire et sectorielle.</w:t>
      </w:r>
    </w:p>
    <w:p>
      <w:pPr>
        <w:pStyle w:val="ListBullet"/>
      </w:pPr>
      <w:r>
        <w:t>Les sources, événements et acteurs pertinents sont recensés.</w:t>
      </w:r>
    </w:p>
    <w:p>
      <w:pPr>
        <w:pStyle w:val="ListBullet"/>
      </w:pPr>
      <w:r>
        <w:t>Les données de veille sont collectées et organisées.</w:t>
      </w:r>
    </w:p>
    <w:p>
      <w:pPr>
        <w:pStyle w:val="ListBullet"/>
      </w:pPr>
      <w:r>
        <w:t>Les contenus et pratiques sont actualisés.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