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Progression pédagogique</w:t>
      </w:r>
    </w:p>
    <w:p>
      <w:pPr>
        <w:jc w:val="center"/>
      </w:pPr>
      <w:r>
        <w:rPr>
          <w:b/>
        </w:rPr>
        <w:t>AT1 — Concevoir et préparer la formation</w:t>
      </w:r>
    </w:p>
    <w:p>
      <w:r>
        <w:t>REAC FPA v07 — CP1, pages 19-20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Progression pédagogique</w:t>
      </w:r>
    </w:p>
    <w:p>
      <w:r>
        <w:rPr>
          <w:b/>
        </w:rPr>
        <w:t xml:space="preserve">Intitulé de la formation : </w:t>
      </w:r>
      <w:r>
        <w:t>Prise de parole professionnelle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Cadre de la formation</w:t>
      </w:r>
    </w:p>
    <w:p>
      <w:r>
        <w:rPr>
          <w:i/>
        </w:rPr>
        <w:t>Précisez les données structurantes.</w:t>
      </w:r>
    </w:p>
    <w:p>
      <w:r>
        <w:rPr>
          <w:b/>
        </w:rPr>
        <w:t xml:space="preserve">Public concerné : </w:t>
      </w:r>
      <w:r>
        <w:t>Adultes en reconversion</w:t>
      </w:r>
    </w:p>
    <w:p>
      <w:r>
        <w:rPr>
          <w:b/>
        </w:rPr>
        <w:t xml:space="preserve">Prérequis : </w:t>
      </w:r>
      <w:r>
        <w:t>À compléter</w:t>
      </w:r>
    </w:p>
    <w:p>
      <w:r>
        <w:rPr>
          <w:b/>
        </w:rPr>
        <w:t xml:space="preserve">Compétences visées : </w:t>
      </w:r>
      <w:r>
        <w:t>À compléter</w:t>
      </w:r>
    </w:p>
    <w:p>
      <w:r>
        <w:rPr>
          <w:b/>
        </w:rPr>
        <w:t xml:space="preserve">Objectifs de formation : </w:t>
      </w:r>
      <w:r>
        <w:t>À compléter</w:t>
      </w:r>
    </w:p>
    <w:p>
      <w:r>
        <w:rPr>
          <w:b/>
        </w:rPr>
        <w:t xml:space="preserve">Durée totale : </w:t>
      </w:r>
      <w:r>
        <w:t>14</w:t>
      </w:r>
    </w:p>
    <w:p>
      <w:r>
        <w:rPr>
          <w:b/>
        </w:rPr>
        <w:t xml:space="preserve">Modalité principale : </w:t>
      </w:r>
      <w:r>
        <w:t>Mixte</w:t>
      </w:r>
    </w:p>
    <w:p>
      <w:pPr>
        <w:pStyle w:val="Heading1"/>
      </w:pPr>
      <w:r>
        <w:t>Étapes de la progression</w:t>
      </w:r>
    </w:p>
    <w:p>
      <w:r>
        <w:rPr>
          <w:i/>
        </w:rPr>
        <w:t>Ajoutez autant d'étapes que nécessaire.</w:t>
      </w:r>
    </w:p>
    <w:p>
      <w:pPr>
        <w:pStyle w:val="Heading2"/>
      </w:pPr>
      <w:r>
        <w:t>Étapes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57"/>
        <w:gridCol w:w="1457"/>
        <w:gridCol w:w="1457"/>
        <w:gridCol w:w="1457"/>
        <w:gridCol w:w="1457"/>
        <w:gridCol w:w="1457"/>
        <w:gridCol w:w="1457"/>
      </w:tblGrid>
      <w:tr>
        <w:tc>
          <w:tcPr>
            <w:tcW w:type="dxa" w:w="1457"/>
          </w:tcPr>
          <w:p>
            <w:r>
              <w:t>Séquence / étape</w:t>
            </w:r>
          </w:p>
        </w:tc>
        <w:tc>
          <w:tcPr>
            <w:tcW w:type="dxa" w:w="1457"/>
          </w:tcPr>
          <w:p>
            <w:r>
              <w:t>Objectif pédagogique</w:t>
            </w:r>
          </w:p>
        </w:tc>
        <w:tc>
          <w:tcPr>
            <w:tcW w:type="dxa" w:w="1457"/>
          </w:tcPr>
          <w:p>
            <w:r>
              <w:t>Contenus et activités</w:t>
            </w:r>
          </w:p>
        </w:tc>
        <w:tc>
          <w:tcPr>
            <w:tcW w:type="dxa" w:w="1457"/>
          </w:tcPr>
          <w:p>
            <w:r>
              <w:t>Modalité</w:t>
            </w:r>
          </w:p>
        </w:tc>
        <w:tc>
          <w:tcPr>
            <w:tcW w:type="dxa" w:w="1457"/>
          </w:tcPr>
          <w:p>
            <w:r>
              <w:t>Durée</w:t>
            </w:r>
          </w:p>
        </w:tc>
        <w:tc>
          <w:tcPr>
            <w:tcW w:type="dxa" w:w="1457"/>
          </w:tcPr>
          <w:p>
            <w:r>
              <w:t>Évaluation</w:t>
            </w:r>
          </w:p>
        </w:tc>
        <w:tc>
          <w:tcPr>
            <w:tcW w:type="dxa" w:w="1457"/>
          </w:tcPr>
          <w:p>
            <w:r>
              <w:t>Accompagnement</w:t>
            </w:r>
          </w:p>
        </w:tc>
      </w:tr>
      <w:tr>
        <w:tc>
          <w:tcPr>
            <w:tcW w:type="dxa" w:w="1457"/>
          </w:tcPr>
          <w:p>
            <w:r>
              <w:t>1. Se positionner</w:t>
            </w:r>
          </w:p>
        </w:tc>
        <w:tc>
          <w:tcPr>
            <w:tcW w:type="dxa" w:w="1457"/>
          </w:tcPr>
          <w:p>
            <w:r>
              <w:t>Identifier ses points d'appui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2 h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</w:tr>
      <w:tr>
        <w:tc>
          <w:tcPr>
            <w:tcW w:type="dxa" w:w="1457"/>
          </w:tcPr>
          <w:p>
            <w:r>
              <w:t>2. Structurer</w:t>
            </w:r>
          </w:p>
        </w:tc>
        <w:tc>
          <w:tcPr>
            <w:tcW w:type="dxa" w:w="1457"/>
          </w:tcPr>
          <w:p>
            <w:r>
              <w:t>Construire une intervention claire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5 h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</w:tr>
    </w:tbl>
    <w:p/>
    <w:p>
      <w:pPr>
        <w:pStyle w:val="Heading1"/>
      </w:pPr>
      <w:r>
        <w:t>Organisation</w:t>
      </w:r>
    </w:p>
    <w:p>
      <w:r>
        <w:rPr>
          <w:i/>
        </w:rPr>
        <w:t>Rendez la progression exploitable par un tiers.</w:t>
      </w:r>
    </w:p>
    <w:p>
      <w:r>
        <w:rPr>
          <w:b/>
        </w:rPr>
        <w:t xml:space="preserve">Moyens humains, matériels et pédagogiques : </w:t>
      </w:r>
      <w:r>
        <w:t>À compléter</w:t>
      </w:r>
    </w:p>
    <w:p>
      <w:r>
        <w:rPr>
          <w:b/>
        </w:rPr>
        <w:t xml:space="preserve">Interventions des autres acteurs : </w:t>
      </w:r>
      <w:r>
        <w:t>À compléter</w:t>
      </w:r>
    </w:p>
    <w:p>
      <w:r>
        <w:rPr>
          <w:b/>
        </w:rPr>
        <w:t xml:space="preserve">Gestion des entrées, sorties ou parcours individualisés : </w:t>
      </w:r>
      <w:r>
        <w:t>À compléter</w:t>
      </w:r>
    </w:p>
    <w:p>
      <w:r>
        <w:rPr>
          <w:b/>
        </w:rPr>
        <w:t xml:space="preserve">Validation du responsable ou du commanditaire : </w:t>
      </w:r>
      <w:r>
        <w:t>À compléter</w:t>
      </w:r>
    </w:p>
    <w:p>
      <w:pPr>
        <w:pStyle w:val="Heading1"/>
      </w:pPr>
      <w:r>
        <w:t>Repères REAC</w:t>
      </w:r>
    </w:p>
    <w:p>
      <w:r>
        <w:t>Organiser la formation dans un ordre logique en précisant objectifs, étapes, modalités, durées, évaluations et accompagnement.</w:t>
      </w:r>
    </w:p>
    <w:p>
      <w:pPr>
        <w:pStyle w:val="ListBullet"/>
      </w:pPr>
      <w:r>
        <w:t>Les objectifs, étapes, modalités et durées sont décrits.</w:t>
      </w:r>
    </w:p>
    <w:p>
      <w:pPr>
        <w:pStyle w:val="ListBullet"/>
      </w:pPr>
      <w:r>
        <w:t>Les situations d'apprentissage, d'évaluation et d'accompagnement sont planifiées.</w:t>
      </w:r>
    </w:p>
    <w:p>
      <w:pPr>
        <w:pStyle w:val="ListBullet"/>
      </w:pPr>
      <w:r>
        <w:t>La progression est exploitable par un tiers.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07/08/2026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